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FCE79" w14:textId="77777777" w:rsidR="000176BF" w:rsidRDefault="00520821" w:rsidP="000176BF">
      <w:pPr>
        <w:rPr>
          <w:rFonts w:ascii="Cambria" w:hAnsi="Cambria" w:cs="Arial"/>
          <w:b/>
          <w:color w:val="17365D"/>
          <w:sz w:val="26"/>
          <w:szCs w:val="26"/>
        </w:rPr>
      </w:pPr>
      <w:r>
        <w:rPr>
          <w:rFonts w:ascii="Cambria" w:hAnsi="Cambria" w:cs="Arial"/>
          <w:b/>
          <w:color w:val="17365D"/>
          <w:sz w:val="26"/>
          <w:szCs w:val="26"/>
        </w:rPr>
        <w:t>Healthy Ageing</w:t>
      </w:r>
    </w:p>
    <w:p w14:paraId="47A0D10C" w14:textId="77777777" w:rsidR="000176BF" w:rsidRDefault="000176BF" w:rsidP="000176BF">
      <w:pPr>
        <w:rPr>
          <w:rFonts w:ascii="Cambria" w:hAnsi="Cambria" w:cs="Arial"/>
          <w:b/>
          <w:color w:val="17365D"/>
          <w:sz w:val="26"/>
          <w:szCs w:val="26"/>
        </w:rPr>
      </w:pPr>
    </w:p>
    <w:p w14:paraId="7F809212" w14:textId="77777777" w:rsidR="000176BF" w:rsidRPr="000176BF" w:rsidRDefault="000176BF" w:rsidP="000176BF">
      <w:pPr>
        <w:rPr>
          <w:rFonts w:ascii="Cambria" w:hAnsi="Cambria" w:cs="Arial"/>
          <w:b/>
          <w:color w:val="17365D"/>
          <w:sz w:val="26"/>
          <w:szCs w:val="26"/>
        </w:rPr>
      </w:pPr>
      <w:r w:rsidRPr="000176BF">
        <w:rPr>
          <w:rFonts w:ascii="Cambria" w:hAnsi="Cambria"/>
          <w:color w:val="000000"/>
        </w:rPr>
        <w:t>Healthy ageing refers to activities and behaviours which aim to reduce the risk of illness and disease, and increase physical, emotional and mental health during the ageing process. It is concerned with the quality of life, not just the years of life, enjoyed by an individual.</w:t>
      </w:r>
    </w:p>
    <w:p w14:paraId="0270BF25" w14:textId="77777777" w:rsidR="00520821" w:rsidRPr="000176BF" w:rsidRDefault="000176BF" w:rsidP="000176BF">
      <w:pPr>
        <w:pStyle w:val="NormalWeb"/>
        <w:rPr>
          <w:rFonts w:ascii="Cambria" w:hAnsi="Cambria"/>
          <w:color w:val="000000"/>
        </w:rPr>
      </w:pPr>
      <w:r w:rsidRPr="000176BF">
        <w:rPr>
          <w:rFonts w:ascii="Cambria" w:hAnsi="Cambria"/>
          <w:color w:val="000000"/>
        </w:rPr>
        <w:t>Evidence shows that today’s older Australians are living longer and, in several respects, healthier lives than previous generations. According to the</w:t>
      </w:r>
      <w:r w:rsidRPr="000176BF">
        <w:rPr>
          <w:rStyle w:val="apple-converted-space"/>
          <w:rFonts w:ascii="Cambria" w:hAnsi="Cambria"/>
          <w:color w:val="000000"/>
        </w:rPr>
        <w:t> </w:t>
      </w:r>
      <w:r w:rsidRPr="000176BF">
        <w:rPr>
          <w:rStyle w:val="Emphasis"/>
          <w:rFonts w:ascii="Cambria" w:hAnsi="Cambria"/>
          <w:color w:val="000000"/>
        </w:rPr>
        <w:t>2007–08 National Health Survey</w:t>
      </w:r>
      <w:r w:rsidRPr="000176BF">
        <w:rPr>
          <w:rFonts w:ascii="Cambria" w:hAnsi="Cambria"/>
          <w:color w:val="000000"/>
        </w:rPr>
        <w:t>, the majority of older Australians consider themselves to be in excellent, very good or good health, although the proportion of older females reporting fair or poor health increases with age. Thus, many older people have a positive view of their health even though older age may be generally associated with increasing levels of disability and illness.</w:t>
      </w:r>
      <w:r w:rsidRPr="000176BF">
        <w:rPr>
          <w:rStyle w:val="apple-converted-space"/>
          <w:rFonts w:ascii="Cambria" w:hAnsi="Cambria"/>
          <w:color w:val="000000"/>
        </w:rPr>
        <w:t> </w:t>
      </w:r>
    </w:p>
    <w:p w14:paraId="3A6192A2" w14:textId="77777777" w:rsidR="00520821" w:rsidRPr="001A1E3E" w:rsidRDefault="00520821" w:rsidP="00520821">
      <w:pPr>
        <w:autoSpaceDE w:val="0"/>
        <w:autoSpaceDN w:val="0"/>
        <w:adjustRightInd w:val="0"/>
        <w:rPr>
          <w:rFonts w:ascii="Cambria" w:hAnsi="Cambria" w:cs="PalatinoLT-Roman"/>
          <w:color w:val="365F91"/>
        </w:rPr>
      </w:pPr>
      <w:r w:rsidRPr="001A1E3E">
        <w:rPr>
          <w:rFonts w:ascii="Cambria" w:hAnsi="Cambria" w:cs="PalatinoLT-Roman"/>
          <w:color w:val="365F91"/>
        </w:rPr>
        <w:t>Inquiry</w:t>
      </w:r>
    </w:p>
    <w:p w14:paraId="4C43206D" w14:textId="77777777" w:rsidR="00520821" w:rsidRPr="001A1E3E" w:rsidRDefault="00520821" w:rsidP="00520821">
      <w:pPr>
        <w:autoSpaceDE w:val="0"/>
        <w:autoSpaceDN w:val="0"/>
        <w:adjustRightInd w:val="0"/>
        <w:rPr>
          <w:rFonts w:ascii="Cambria" w:hAnsi="Cambria" w:cs="PalatinoLT-Roman"/>
        </w:rPr>
      </w:pPr>
    </w:p>
    <w:p w14:paraId="463FE2B1" w14:textId="77777777" w:rsidR="00520821" w:rsidRPr="000176BF" w:rsidRDefault="00520821" w:rsidP="00520821">
      <w:pPr>
        <w:numPr>
          <w:ilvl w:val="0"/>
          <w:numId w:val="1"/>
        </w:numPr>
        <w:autoSpaceDE w:val="0"/>
        <w:autoSpaceDN w:val="0"/>
        <w:adjustRightInd w:val="0"/>
        <w:rPr>
          <w:rFonts w:ascii="Cambria" w:hAnsi="Cambria" w:cs="HelveticaLT-Light"/>
          <w:color w:val="000000"/>
        </w:rPr>
      </w:pPr>
      <w:r w:rsidRPr="000176BF">
        <w:rPr>
          <w:rFonts w:ascii="Cambria" w:hAnsi="Cambria" w:cs="HelveticaLT-Light"/>
          <w:color w:val="000000"/>
        </w:rPr>
        <w:t>Outline the reasons why Australia’s population is ageing.</w:t>
      </w:r>
    </w:p>
    <w:p w14:paraId="1BE88C20" w14:textId="77777777" w:rsidR="000176BF" w:rsidRPr="000176BF" w:rsidRDefault="000176BF" w:rsidP="000176BF">
      <w:pPr>
        <w:numPr>
          <w:ilvl w:val="0"/>
          <w:numId w:val="1"/>
        </w:numPr>
        <w:spacing w:before="100" w:beforeAutospacing="1" w:after="100" w:afterAutospacing="1"/>
        <w:rPr>
          <w:rFonts w:ascii="Cambria" w:hAnsi="Cambria"/>
          <w:color w:val="000000"/>
          <w:lang w:val="en-AU"/>
        </w:rPr>
      </w:pPr>
      <w:r w:rsidRPr="000176BF">
        <w:rPr>
          <w:rFonts w:ascii="Cambria" w:hAnsi="Cambria"/>
          <w:color w:val="000000"/>
        </w:rPr>
        <w:t>There are many benefits of adopting a healthy lifestyle, even at an older age, to individuals as well as the nation. Identify benefits for the individual as well as the community.</w:t>
      </w:r>
    </w:p>
    <w:p w14:paraId="435469B6" w14:textId="77777777" w:rsidR="000176BF" w:rsidRPr="000176BF" w:rsidRDefault="000176BF" w:rsidP="000176BF">
      <w:pPr>
        <w:numPr>
          <w:ilvl w:val="0"/>
          <w:numId w:val="1"/>
        </w:numPr>
        <w:spacing w:before="100" w:beforeAutospacing="1" w:after="100" w:afterAutospacing="1"/>
        <w:rPr>
          <w:rFonts w:ascii="Cambria" w:hAnsi="Cambria"/>
          <w:color w:val="000000"/>
          <w:lang w:val="en-AU"/>
        </w:rPr>
      </w:pPr>
      <w:r w:rsidRPr="000176BF">
        <w:rPr>
          <w:rFonts w:ascii="Cambria" w:hAnsi="Cambria"/>
          <w:color w:val="000000"/>
        </w:rPr>
        <w:t>Outline factors that may influence an individual not being able to achieve healthy ageing.</w:t>
      </w:r>
    </w:p>
    <w:p w14:paraId="18684CE7" w14:textId="77777777" w:rsidR="00520821" w:rsidRPr="000176BF" w:rsidRDefault="00520821" w:rsidP="00520821">
      <w:pPr>
        <w:numPr>
          <w:ilvl w:val="0"/>
          <w:numId w:val="1"/>
        </w:numPr>
        <w:autoSpaceDE w:val="0"/>
        <w:autoSpaceDN w:val="0"/>
        <w:adjustRightInd w:val="0"/>
        <w:rPr>
          <w:rFonts w:ascii="Cambria" w:hAnsi="Cambria" w:cs="HelveticaLT-Light"/>
          <w:color w:val="000000"/>
        </w:rPr>
      </w:pPr>
      <w:r w:rsidRPr="000176BF">
        <w:rPr>
          <w:rFonts w:ascii="Cambria" w:hAnsi="Cambria" w:cs="HelveticaLT-Light"/>
          <w:color w:val="000000"/>
        </w:rPr>
        <w:t xml:space="preserve">Research </w:t>
      </w:r>
      <w:r w:rsidR="000176BF" w:rsidRPr="000176BF">
        <w:rPr>
          <w:rFonts w:ascii="Cambria" w:hAnsi="Cambria" w:cs="HelveticaLT-Light"/>
          <w:color w:val="000000"/>
        </w:rPr>
        <w:t>an initiative</w:t>
      </w:r>
      <w:r w:rsidRPr="000176BF">
        <w:rPr>
          <w:rFonts w:ascii="Cambria" w:hAnsi="Cambria" w:cs="HelveticaLT-Light"/>
          <w:color w:val="000000"/>
        </w:rPr>
        <w:t xml:space="preserve"> undertaken by the government to promote and enhance positive ageing.</w:t>
      </w:r>
    </w:p>
    <w:p w14:paraId="745AEEF7" w14:textId="77777777" w:rsidR="00520821" w:rsidRPr="001A1E3E" w:rsidRDefault="00520821" w:rsidP="00520821">
      <w:pPr>
        <w:autoSpaceDE w:val="0"/>
        <w:autoSpaceDN w:val="0"/>
        <w:adjustRightInd w:val="0"/>
        <w:rPr>
          <w:rFonts w:ascii="Cambria" w:hAnsi="Cambria" w:cs="HelveticaLT-Light"/>
          <w:color w:val="000000"/>
        </w:rPr>
      </w:pPr>
    </w:p>
    <w:p w14:paraId="5F8E6AA5" w14:textId="77777777" w:rsidR="00520821" w:rsidRDefault="00520821" w:rsidP="00520821">
      <w:pPr>
        <w:rPr>
          <w:rFonts w:ascii="Cambria" w:hAnsi="Cambria" w:cs="Arial"/>
          <w:b/>
          <w:color w:val="17365D"/>
          <w:sz w:val="26"/>
          <w:szCs w:val="26"/>
        </w:rPr>
      </w:pPr>
      <w:r>
        <w:rPr>
          <w:rFonts w:ascii="Cambria" w:hAnsi="Cambria" w:cs="Arial"/>
          <w:b/>
          <w:color w:val="17365D"/>
          <w:sz w:val="26"/>
          <w:szCs w:val="26"/>
        </w:rPr>
        <w:t>Increased Population living with chronic disease and disability</w:t>
      </w:r>
    </w:p>
    <w:p w14:paraId="759E31F3" w14:textId="77777777" w:rsidR="00520821" w:rsidRPr="000176BF" w:rsidRDefault="000176BF" w:rsidP="000176BF">
      <w:pPr>
        <w:pStyle w:val="NormalWeb"/>
        <w:rPr>
          <w:rFonts w:ascii="Cambria" w:hAnsi="Cambria"/>
          <w:color w:val="000000"/>
        </w:rPr>
      </w:pPr>
      <w:r w:rsidRPr="000176BF">
        <w:rPr>
          <w:rFonts w:ascii="Cambria" w:hAnsi="Cambria"/>
          <w:color w:val="000000"/>
        </w:rPr>
        <w:t>The ageing population and greater longevity of individuals are leading to growing numbers of people, especially at older ages, with a disability and severe or profound core activity limitation. Coronary heart disease and cerebrovascular disease are the two leading causes of death and the major causes of disability among older Australians. The top ten causes of disease burden in Australia are chronic diseases. The prevalence of chronic disease increases with age. In 2004-5, more than 90% of coronary heart disease and osteoporosis, and over 80% of diabetes and arthritis, were reported for people aged 45 years and over. In 2003, just over half of the population aged 60 years and over had a reported disability (51%) and 19% had a profound or severe core-activity limitation.</w:t>
      </w:r>
      <w:r w:rsidRPr="000176BF">
        <w:rPr>
          <w:rStyle w:val="apple-converted-space"/>
          <w:rFonts w:ascii="Cambria" w:hAnsi="Cambria"/>
          <w:color w:val="000000"/>
        </w:rPr>
        <w:t> </w:t>
      </w:r>
    </w:p>
    <w:p w14:paraId="50EF3AB3" w14:textId="77777777" w:rsidR="00520821" w:rsidRDefault="00520821" w:rsidP="00520821">
      <w:pPr>
        <w:autoSpaceDE w:val="0"/>
        <w:autoSpaceDN w:val="0"/>
        <w:adjustRightInd w:val="0"/>
        <w:rPr>
          <w:rFonts w:ascii="Cambria" w:hAnsi="Cambria" w:cs="PalatinoLT-Roman"/>
          <w:color w:val="365F91"/>
        </w:rPr>
      </w:pPr>
      <w:r w:rsidRPr="0020131A">
        <w:rPr>
          <w:rFonts w:ascii="Cambria" w:hAnsi="Cambria" w:cs="PalatinoLT-Roman"/>
          <w:color w:val="365F91"/>
        </w:rPr>
        <w:t>Inquiry</w:t>
      </w:r>
    </w:p>
    <w:p w14:paraId="04ABD5F3" w14:textId="77777777" w:rsidR="00520821" w:rsidRDefault="00520821" w:rsidP="00520821">
      <w:pPr>
        <w:autoSpaceDE w:val="0"/>
        <w:autoSpaceDN w:val="0"/>
        <w:adjustRightInd w:val="0"/>
        <w:rPr>
          <w:rFonts w:ascii="Cambria" w:hAnsi="Cambria" w:cs="PalatinoLT-Roman"/>
          <w:color w:val="365F91"/>
        </w:rPr>
      </w:pPr>
    </w:p>
    <w:p w14:paraId="4F3B747D" w14:textId="77777777" w:rsidR="00520821" w:rsidRDefault="00520821" w:rsidP="00520821">
      <w:pPr>
        <w:numPr>
          <w:ilvl w:val="0"/>
          <w:numId w:val="2"/>
        </w:numPr>
        <w:autoSpaceDE w:val="0"/>
        <w:autoSpaceDN w:val="0"/>
        <w:adjustRightInd w:val="0"/>
        <w:rPr>
          <w:rFonts w:ascii="Cambria" w:hAnsi="Cambria" w:cs="PalatinoLT-Roman"/>
        </w:rPr>
      </w:pPr>
      <w:r>
        <w:rPr>
          <w:rFonts w:ascii="Cambria" w:hAnsi="Cambria" w:cs="PalatinoLT-Roman"/>
        </w:rPr>
        <w:t xml:space="preserve">Identify </w:t>
      </w:r>
      <w:r w:rsidR="005B527E">
        <w:rPr>
          <w:rFonts w:ascii="Cambria" w:hAnsi="Cambria" w:cs="PalatinoLT-Roman"/>
        </w:rPr>
        <w:t>six</w:t>
      </w:r>
      <w:r>
        <w:rPr>
          <w:rFonts w:ascii="Cambria" w:hAnsi="Cambria" w:cs="PalatinoLT-Roman"/>
        </w:rPr>
        <w:t xml:space="preserve"> common chronic diseases, conditions and causes of disability that affect the Australian population.</w:t>
      </w:r>
    </w:p>
    <w:p w14:paraId="36F0B581" w14:textId="77777777" w:rsidR="00520821" w:rsidRDefault="00B76C45" w:rsidP="00520821">
      <w:pPr>
        <w:numPr>
          <w:ilvl w:val="0"/>
          <w:numId w:val="2"/>
        </w:numPr>
        <w:autoSpaceDE w:val="0"/>
        <w:autoSpaceDN w:val="0"/>
        <w:adjustRightInd w:val="0"/>
        <w:rPr>
          <w:rFonts w:ascii="Cambria" w:hAnsi="Cambria" w:cs="PalatinoLT-Roman"/>
        </w:rPr>
      </w:pPr>
      <w:r>
        <w:rPr>
          <w:rFonts w:ascii="Cambria" w:hAnsi="Cambria" w:cs="PalatinoLT-Roman"/>
        </w:rPr>
        <w:t>Describe the trends of</w:t>
      </w:r>
      <w:r w:rsidR="00520821">
        <w:rPr>
          <w:rFonts w:ascii="Cambria" w:hAnsi="Cambria" w:cs="PalatinoLT-Roman"/>
        </w:rPr>
        <w:t xml:space="preserve"> </w:t>
      </w:r>
      <w:r w:rsidR="005B527E">
        <w:rPr>
          <w:rFonts w:ascii="Cambria" w:hAnsi="Cambria" w:cs="PalatinoLT-Roman"/>
        </w:rPr>
        <w:t xml:space="preserve">one of </w:t>
      </w:r>
      <w:r w:rsidR="00520821">
        <w:rPr>
          <w:rFonts w:ascii="Cambria" w:hAnsi="Cambria" w:cs="PalatinoLT-Roman"/>
        </w:rPr>
        <w:t>these conditions</w:t>
      </w:r>
      <w:r w:rsidR="005B527E">
        <w:rPr>
          <w:rFonts w:ascii="Cambria" w:hAnsi="Cambria" w:cs="PalatinoLT-Roman"/>
        </w:rPr>
        <w:t>.</w:t>
      </w:r>
    </w:p>
    <w:p w14:paraId="4B6FE463" w14:textId="77777777" w:rsidR="00520821" w:rsidRDefault="00520821" w:rsidP="00520821">
      <w:pPr>
        <w:numPr>
          <w:ilvl w:val="0"/>
          <w:numId w:val="2"/>
        </w:numPr>
        <w:autoSpaceDE w:val="0"/>
        <w:autoSpaceDN w:val="0"/>
        <w:adjustRightInd w:val="0"/>
        <w:rPr>
          <w:rFonts w:ascii="Cambria" w:hAnsi="Cambria" w:cs="PalatinoLT-Roman"/>
        </w:rPr>
      </w:pPr>
      <w:r>
        <w:rPr>
          <w:rFonts w:ascii="Cambria" w:hAnsi="Cambria" w:cs="PalatinoLT-Roman"/>
        </w:rPr>
        <w:t>What is the effect of chronic disease and disabilities on the workforce?</w:t>
      </w:r>
    </w:p>
    <w:p w14:paraId="1E999198" w14:textId="77777777" w:rsidR="00520821" w:rsidRPr="0020131A" w:rsidRDefault="00520821" w:rsidP="00520821">
      <w:pPr>
        <w:autoSpaceDE w:val="0"/>
        <w:autoSpaceDN w:val="0"/>
        <w:adjustRightInd w:val="0"/>
        <w:rPr>
          <w:rFonts w:ascii="Cambria" w:hAnsi="Cambria" w:cs="PalatinoLT-Roman"/>
        </w:rPr>
      </w:pPr>
    </w:p>
    <w:p w14:paraId="04732FB7" w14:textId="77777777" w:rsidR="00520821" w:rsidRDefault="00520821" w:rsidP="00520821">
      <w:pPr>
        <w:rPr>
          <w:rFonts w:ascii="Cambria" w:hAnsi="Cambria" w:cs="Arial"/>
          <w:b/>
          <w:color w:val="17365D"/>
          <w:sz w:val="26"/>
          <w:szCs w:val="26"/>
        </w:rPr>
      </w:pPr>
      <w:r>
        <w:rPr>
          <w:rFonts w:ascii="Cambria" w:hAnsi="Cambria" w:cs="Arial"/>
          <w:b/>
          <w:color w:val="17365D"/>
          <w:sz w:val="26"/>
          <w:szCs w:val="26"/>
        </w:rPr>
        <w:t>Demand for health services and workforce shortages</w:t>
      </w:r>
    </w:p>
    <w:p w14:paraId="51FA3B7F" w14:textId="77777777" w:rsidR="005B527E" w:rsidRPr="005B527E" w:rsidRDefault="005B527E" w:rsidP="005B527E">
      <w:pPr>
        <w:pStyle w:val="NormalWeb"/>
        <w:rPr>
          <w:rFonts w:ascii="Cambria" w:hAnsi="Cambria"/>
          <w:color w:val="000000"/>
        </w:rPr>
      </w:pPr>
      <w:r w:rsidRPr="005B527E">
        <w:rPr>
          <w:rFonts w:ascii="Cambria" w:hAnsi="Cambria"/>
          <w:color w:val="000000"/>
        </w:rPr>
        <w:t>The Australian health system is complex, with many types of service providers and a variety of funding and regulatory mechanisms. Those who provide services include a range of medical practitioners, other health professionals, hospitals, clinics, and other government and non-government agencies.</w:t>
      </w:r>
    </w:p>
    <w:p w14:paraId="07C963F0" w14:textId="77777777" w:rsidR="00520821" w:rsidRPr="000F7322" w:rsidRDefault="005B527E" w:rsidP="000F7322">
      <w:pPr>
        <w:pStyle w:val="NormalWeb"/>
        <w:rPr>
          <w:rFonts w:ascii="Cambria" w:hAnsi="Cambria"/>
          <w:color w:val="000000"/>
        </w:rPr>
      </w:pPr>
      <w:r w:rsidRPr="005B527E">
        <w:rPr>
          <w:rFonts w:ascii="Cambria" w:hAnsi="Cambria"/>
          <w:color w:val="000000"/>
        </w:rPr>
        <w:t xml:space="preserve">Older people are much higher users of hospitals than their younger counterparts. As age increases, so does the average length of stay. On discharge from the hospital, older people are more likely than </w:t>
      </w:r>
      <w:r w:rsidRPr="005B527E">
        <w:rPr>
          <w:rFonts w:ascii="Cambria" w:hAnsi="Cambria"/>
          <w:color w:val="000000"/>
        </w:rPr>
        <w:lastRenderedPageBreak/>
        <w:t>younger people to enter residential aged care or die. This is particularly the case for injury-related hospitalisations.</w:t>
      </w:r>
      <w:r w:rsidRPr="005B527E">
        <w:rPr>
          <w:rStyle w:val="apple-converted-space"/>
          <w:rFonts w:ascii="Cambria" w:hAnsi="Cambria"/>
          <w:color w:val="000000"/>
        </w:rPr>
        <w:t> </w:t>
      </w:r>
    </w:p>
    <w:p w14:paraId="540B97C6" w14:textId="77777777" w:rsidR="00520821" w:rsidRDefault="00520821" w:rsidP="00520821">
      <w:pPr>
        <w:autoSpaceDE w:val="0"/>
        <w:autoSpaceDN w:val="0"/>
        <w:adjustRightInd w:val="0"/>
        <w:rPr>
          <w:rFonts w:ascii="Cambria" w:hAnsi="Cambria" w:cs="PalatinoLT-Roman"/>
          <w:color w:val="365F91"/>
        </w:rPr>
      </w:pPr>
      <w:r w:rsidRPr="0020131A">
        <w:rPr>
          <w:rFonts w:ascii="Cambria" w:hAnsi="Cambria" w:cs="PalatinoLT-Roman"/>
          <w:color w:val="365F91"/>
        </w:rPr>
        <w:t>Inquiry</w:t>
      </w:r>
    </w:p>
    <w:p w14:paraId="5BCA5980" w14:textId="77777777" w:rsidR="00520821" w:rsidRPr="001A1E3E" w:rsidRDefault="00520821" w:rsidP="00520821">
      <w:pPr>
        <w:autoSpaceDE w:val="0"/>
        <w:autoSpaceDN w:val="0"/>
        <w:adjustRightInd w:val="0"/>
        <w:rPr>
          <w:rFonts w:ascii="Cambria" w:hAnsi="Cambria" w:cs="Arial"/>
          <w:b/>
        </w:rPr>
      </w:pPr>
    </w:p>
    <w:p w14:paraId="7CD863C8" w14:textId="77777777" w:rsidR="000F7322" w:rsidRPr="000F7322" w:rsidRDefault="000F7322" w:rsidP="00520821">
      <w:pPr>
        <w:numPr>
          <w:ilvl w:val="0"/>
          <w:numId w:val="3"/>
        </w:numPr>
        <w:autoSpaceDE w:val="0"/>
        <w:autoSpaceDN w:val="0"/>
        <w:adjustRightInd w:val="0"/>
        <w:rPr>
          <w:rFonts w:ascii="Cambria" w:hAnsi="Cambria" w:cs="Arial"/>
        </w:rPr>
      </w:pPr>
      <w:r w:rsidRPr="000F7322">
        <w:rPr>
          <w:rFonts w:ascii="Cambria" w:hAnsi="Cambria" w:cs="Arial"/>
        </w:rPr>
        <w:t>What is Residential Aged Care?</w:t>
      </w:r>
    </w:p>
    <w:p w14:paraId="1478D929" w14:textId="77777777" w:rsidR="00520821" w:rsidRPr="000F7322" w:rsidRDefault="00520821" w:rsidP="00520821">
      <w:pPr>
        <w:numPr>
          <w:ilvl w:val="0"/>
          <w:numId w:val="3"/>
        </w:numPr>
        <w:autoSpaceDE w:val="0"/>
        <w:autoSpaceDN w:val="0"/>
        <w:adjustRightInd w:val="0"/>
        <w:rPr>
          <w:rFonts w:ascii="Cambria" w:hAnsi="Cambria" w:cs="Arial"/>
        </w:rPr>
      </w:pPr>
      <w:r w:rsidRPr="000F7322">
        <w:rPr>
          <w:rFonts w:ascii="Cambria" w:hAnsi="Cambria" w:cs="Arial"/>
        </w:rPr>
        <w:t>What is the impact of an ageing population on health services and aged care facilities?</w:t>
      </w:r>
    </w:p>
    <w:p w14:paraId="7B2FA3C7" w14:textId="77777777" w:rsidR="00520821" w:rsidRPr="000F7322" w:rsidRDefault="000F7322" w:rsidP="00520821">
      <w:pPr>
        <w:numPr>
          <w:ilvl w:val="0"/>
          <w:numId w:val="3"/>
        </w:numPr>
        <w:autoSpaceDE w:val="0"/>
        <w:autoSpaceDN w:val="0"/>
        <w:adjustRightInd w:val="0"/>
        <w:rPr>
          <w:rFonts w:ascii="Cambria" w:hAnsi="Cambria" w:cs="Arial"/>
        </w:rPr>
      </w:pPr>
      <w:r w:rsidRPr="000F7322">
        <w:rPr>
          <w:rFonts w:ascii="Cambria" w:hAnsi="Cambria" w:cs="Arial"/>
        </w:rPr>
        <w:t>Use you</w:t>
      </w:r>
      <w:r>
        <w:rPr>
          <w:rFonts w:ascii="Cambria" w:hAnsi="Cambria" w:cs="Arial"/>
        </w:rPr>
        <w:t>r</w:t>
      </w:r>
      <w:r w:rsidRPr="000F7322">
        <w:rPr>
          <w:rFonts w:ascii="Cambria" w:hAnsi="Cambria" w:cs="Arial"/>
        </w:rPr>
        <w:t xml:space="preserve"> text book to identify what</w:t>
      </w:r>
      <w:r w:rsidR="00520821" w:rsidRPr="000F7322">
        <w:rPr>
          <w:rFonts w:ascii="Cambria" w:hAnsi="Cambria" w:cs="Arial"/>
        </w:rPr>
        <w:t xml:space="preserve"> the government </w:t>
      </w:r>
      <w:r w:rsidRPr="000F7322">
        <w:rPr>
          <w:rFonts w:ascii="Cambria" w:hAnsi="Cambria" w:cs="Arial"/>
        </w:rPr>
        <w:t xml:space="preserve">is </w:t>
      </w:r>
      <w:r w:rsidR="00520821" w:rsidRPr="000F7322">
        <w:rPr>
          <w:rFonts w:ascii="Cambria" w:hAnsi="Cambria" w:cs="Arial"/>
        </w:rPr>
        <w:t>doing to address the issue?</w:t>
      </w:r>
      <w:r w:rsidRPr="000F7322">
        <w:rPr>
          <w:rFonts w:ascii="Cambria" w:hAnsi="Cambria" w:cs="Arial"/>
        </w:rPr>
        <w:t xml:space="preserve"> </w:t>
      </w:r>
    </w:p>
    <w:p w14:paraId="6DAAF7BC" w14:textId="77777777" w:rsidR="00520821" w:rsidRPr="000F7322" w:rsidRDefault="000F7322" w:rsidP="000F7322">
      <w:pPr>
        <w:numPr>
          <w:ilvl w:val="0"/>
          <w:numId w:val="3"/>
        </w:numPr>
        <w:spacing w:before="100" w:beforeAutospacing="1" w:after="100" w:afterAutospacing="1"/>
        <w:rPr>
          <w:rFonts w:ascii="Cambria" w:hAnsi="Cambria"/>
          <w:color w:val="000000"/>
          <w:lang w:val="en-AU"/>
        </w:rPr>
      </w:pPr>
      <w:r w:rsidRPr="000F7322">
        <w:rPr>
          <w:rFonts w:ascii="Cambria" w:hAnsi="Cambria"/>
          <w:color w:val="000000"/>
        </w:rPr>
        <w:t>Predict the effect on an ageing population on health expenditure.</w:t>
      </w:r>
    </w:p>
    <w:p w14:paraId="52EEDD9C" w14:textId="77777777" w:rsidR="00520821" w:rsidRDefault="00520821" w:rsidP="00520821">
      <w:pPr>
        <w:rPr>
          <w:rFonts w:ascii="Cambria" w:hAnsi="Cambria" w:cs="Arial"/>
          <w:b/>
          <w:color w:val="17365D"/>
          <w:sz w:val="26"/>
          <w:szCs w:val="26"/>
        </w:rPr>
      </w:pPr>
      <w:r>
        <w:rPr>
          <w:rFonts w:ascii="Cambria" w:hAnsi="Cambria" w:cs="Arial"/>
          <w:b/>
          <w:color w:val="17365D"/>
          <w:sz w:val="26"/>
          <w:szCs w:val="26"/>
        </w:rPr>
        <w:t xml:space="preserve">Availability of </w:t>
      </w:r>
      <w:proofErr w:type="spellStart"/>
      <w:r>
        <w:rPr>
          <w:rFonts w:ascii="Cambria" w:hAnsi="Cambria" w:cs="Arial"/>
          <w:b/>
          <w:color w:val="17365D"/>
          <w:sz w:val="26"/>
          <w:szCs w:val="26"/>
        </w:rPr>
        <w:t>carers</w:t>
      </w:r>
      <w:proofErr w:type="spellEnd"/>
      <w:r>
        <w:rPr>
          <w:rFonts w:ascii="Cambria" w:hAnsi="Cambria" w:cs="Arial"/>
          <w:b/>
          <w:color w:val="17365D"/>
          <w:sz w:val="26"/>
          <w:szCs w:val="26"/>
        </w:rPr>
        <w:t xml:space="preserve"> and volunteers</w:t>
      </w:r>
    </w:p>
    <w:p w14:paraId="30B87C52" w14:textId="77777777" w:rsidR="000F7322" w:rsidRPr="000F7322" w:rsidRDefault="000F7322" w:rsidP="000F7322">
      <w:pPr>
        <w:pStyle w:val="NormalWeb"/>
        <w:rPr>
          <w:rFonts w:ascii="Cambria" w:hAnsi="Cambria"/>
          <w:color w:val="000000"/>
        </w:rPr>
      </w:pPr>
      <w:r w:rsidRPr="000F7322">
        <w:rPr>
          <w:rFonts w:ascii="Cambria" w:hAnsi="Cambria"/>
          <w:color w:val="000000"/>
        </w:rPr>
        <w:t>A carer is any person who provides assistance in a formal paid role or informal unpaid role to a person because of that person’s age, illness or disability. Carers may be needed to assist with tasks of daily living, such as feeding, bathing, dressing, toileting, transferring or administering medications. Older people living in households most commonly reported needing assistance with property maintenance and health care because of disability or age.</w:t>
      </w:r>
    </w:p>
    <w:p w14:paraId="308616AE" w14:textId="77777777" w:rsidR="00520821" w:rsidRPr="00C00F88" w:rsidRDefault="000F7322" w:rsidP="00C00F88">
      <w:pPr>
        <w:pStyle w:val="NormalWeb"/>
        <w:rPr>
          <w:rFonts w:ascii="Cambria" w:hAnsi="Cambria"/>
          <w:color w:val="000000"/>
        </w:rPr>
      </w:pPr>
      <w:r w:rsidRPr="000F7322">
        <w:rPr>
          <w:rFonts w:ascii="Cambria" w:hAnsi="Cambria"/>
          <w:color w:val="000000"/>
        </w:rPr>
        <w:t>Service providers that offer aged care in the community and through aged care homes include a mix of private and religious or charitable organisations, as well as state, territory and local government. The Australian Government has the major role in funding residential aged care services and aged care packages in the community. The bulk of home and community based services for older people are provided under the Home and Community care (HACC) program. The program includes home nursing services, delivered meals, home help and home maintenance services, transport and shopping assistance, allied health services, home and centre based respite care, and advice and assistance of various kinds.</w:t>
      </w:r>
    </w:p>
    <w:p w14:paraId="2320D03A" w14:textId="77777777" w:rsidR="00520821" w:rsidRDefault="00520821" w:rsidP="00520821">
      <w:pPr>
        <w:jc w:val="center"/>
        <w:rPr>
          <w:rFonts w:ascii="Cambria" w:hAnsi="Cambria" w:cs="Arial"/>
          <w:b/>
          <w:color w:val="17365D"/>
          <w:sz w:val="26"/>
          <w:szCs w:val="26"/>
        </w:rPr>
      </w:pPr>
      <w:r w:rsidRPr="00254020">
        <w:rPr>
          <w:noProof/>
        </w:rPr>
        <w:drawing>
          <wp:inline distT="0" distB="0" distL="0" distR="0" wp14:anchorId="2E89ED55" wp14:editId="7C62A66C">
            <wp:extent cx="4162425" cy="24706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5221" cy="2484131"/>
                    </a:xfrm>
                    <a:prstGeom prst="rect">
                      <a:avLst/>
                    </a:prstGeom>
                    <a:noFill/>
                    <a:ln>
                      <a:noFill/>
                    </a:ln>
                  </pic:spPr>
                </pic:pic>
              </a:graphicData>
            </a:graphic>
          </wp:inline>
        </w:drawing>
      </w:r>
    </w:p>
    <w:p w14:paraId="3CE111B2" w14:textId="77777777" w:rsidR="00520821" w:rsidRPr="001A1E3E" w:rsidRDefault="00520821" w:rsidP="00520821">
      <w:pPr>
        <w:autoSpaceDE w:val="0"/>
        <w:autoSpaceDN w:val="0"/>
        <w:adjustRightInd w:val="0"/>
        <w:rPr>
          <w:rFonts w:ascii="Cambria" w:hAnsi="Cambria" w:cs="Arial"/>
          <w:b/>
        </w:rPr>
      </w:pPr>
    </w:p>
    <w:p w14:paraId="21709E3A" w14:textId="77777777" w:rsidR="00520821" w:rsidRDefault="00520821" w:rsidP="00520821">
      <w:pPr>
        <w:autoSpaceDE w:val="0"/>
        <w:autoSpaceDN w:val="0"/>
        <w:adjustRightInd w:val="0"/>
        <w:rPr>
          <w:rFonts w:ascii="Cambria" w:hAnsi="Cambria" w:cs="PalatinoLT-Roman"/>
          <w:color w:val="365F91"/>
        </w:rPr>
      </w:pPr>
      <w:r w:rsidRPr="0020131A">
        <w:rPr>
          <w:rFonts w:ascii="Cambria" w:hAnsi="Cambria" w:cs="PalatinoLT-Roman"/>
          <w:color w:val="365F91"/>
        </w:rPr>
        <w:t>Inquiry</w:t>
      </w:r>
    </w:p>
    <w:p w14:paraId="7872D243" w14:textId="77777777" w:rsidR="00520821" w:rsidRPr="001A1E3E" w:rsidRDefault="00520821" w:rsidP="00520821">
      <w:pPr>
        <w:autoSpaceDE w:val="0"/>
        <w:autoSpaceDN w:val="0"/>
        <w:adjustRightInd w:val="0"/>
        <w:rPr>
          <w:rFonts w:ascii="Cambria" w:hAnsi="Cambria" w:cs="Arial"/>
          <w:b/>
        </w:rPr>
      </w:pPr>
    </w:p>
    <w:p w14:paraId="67F94135" w14:textId="77777777" w:rsidR="00520821" w:rsidRPr="001A1E3E" w:rsidRDefault="00520821" w:rsidP="00520821">
      <w:pPr>
        <w:numPr>
          <w:ilvl w:val="0"/>
          <w:numId w:val="4"/>
        </w:numPr>
        <w:autoSpaceDE w:val="0"/>
        <w:autoSpaceDN w:val="0"/>
        <w:adjustRightInd w:val="0"/>
        <w:rPr>
          <w:rFonts w:ascii="Cambria" w:hAnsi="Cambria" w:cs="Arial"/>
          <w:b/>
        </w:rPr>
      </w:pPr>
      <w:r w:rsidRPr="001A1E3E">
        <w:rPr>
          <w:rFonts w:ascii="Cambria" w:hAnsi="Cambria" w:cs="Arial"/>
        </w:rPr>
        <w:t xml:space="preserve">Assess the impact of a growing and ageing population on </w:t>
      </w:r>
      <w:proofErr w:type="spellStart"/>
      <w:r w:rsidRPr="001A1E3E">
        <w:rPr>
          <w:rFonts w:ascii="Cambria" w:hAnsi="Cambria" w:cs="Arial"/>
        </w:rPr>
        <w:t>carers</w:t>
      </w:r>
      <w:proofErr w:type="spellEnd"/>
      <w:r w:rsidRPr="001A1E3E">
        <w:rPr>
          <w:rFonts w:ascii="Cambria" w:hAnsi="Cambria" w:cs="Arial"/>
        </w:rPr>
        <w:t xml:space="preserve"> of the elderly and volunteer </w:t>
      </w:r>
      <w:proofErr w:type="spellStart"/>
      <w:r w:rsidRPr="001A1E3E">
        <w:rPr>
          <w:rFonts w:ascii="Cambria" w:hAnsi="Cambria" w:cs="Arial"/>
        </w:rPr>
        <w:t>organisations</w:t>
      </w:r>
      <w:proofErr w:type="spellEnd"/>
      <w:r w:rsidRPr="001A1E3E">
        <w:rPr>
          <w:rFonts w:ascii="Cambria" w:hAnsi="Cambria" w:cs="Arial"/>
        </w:rPr>
        <w:t>.</w:t>
      </w:r>
    </w:p>
    <w:p w14:paraId="60478B9B" w14:textId="77777777" w:rsidR="00520821" w:rsidRPr="001A1E3E" w:rsidRDefault="00520821" w:rsidP="00520821">
      <w:pPr>
        <w:numPr>
          <w:ilvl w:val="0"/>
          <w:numId w:val="4"/>
        </w:numPr>
        <w:autoSpaceDE w:val="0"/>
        <w:autoSpaceDN w:val="0"/>
        <w:adjustRightInd w:val="0"/>
        <w:rPr>
          <w:rFonts w:ascii="Cambria" w:hAnsi="Cambria" w:cs="Arial"/>
          <w:b/>
        </w:rPr>
      </w:pPr>
      <w:r w:rsidRPr="001A1E3E">
        <w:rPr>
          <w:rFonts w:ascii="Cambria" w:hAnsi="Cambria" w:cs="Arial"/>
        </w:rPr>
        <w:t xml:space="preserve">Investigate reasons for the projected shortage of </w:t>
      </w:r>
      <w:proofErr w:type="spellStart"/>
      <w:r w:rsidRPr="001A1E3E">
        <w:rPr>
          <w:rFonts w:ascii="Cambria" w:hAnsi="Cambria" w:cs="Arial"/>
        </w:rPr>
        <w:t>carers</w:t>
      </w:r>
      <w:proofErr w:type="spellEnd"/>
      <w:r w:rsidRPr="001A1E3E">
        <w:rPr>
          <w:rFonts w:ascii="Cambria" w:hAnsi="Cambria" w:cs="Arial"/>
        </w:rPr>
        <w:t xml:space="preserve"> in the future.</w:t>
      </w:r>
    </w:p>
    <w:p w14:paraId="33C3B517" w14:textId="77777777" w:rsidR="00520821" w:rsidRPr="001A1E3E" w:rsidRDefault="00520821" w:rsidP="00520821">
      <w:pPr>
        <w:numPr>
          <w:ilvl w:val="0"/>
          <w:numId w:val="4"/>
        </w:numPr>
        <w:autoSpaceDE w:val="0"/>
        <w:autoSpaceDN w:val="0"/>
        <w:adjustRightInd w:val="0"/>
        <w:rPr>
          <w:rFonts w:ascii="Cambria" w:hAnsi="Cambria" w:cs="Arial"/>
          <w:b/>
        </w:rPr>
      </w:pPr>
      <w:r w:rsidRPr="001A1E3E">
        <w:rPr>
          <w:rFonts w:ascii="Cambria" w:hAnsi="Cambria" w:cs="Arial"/>
        </w:rPr>
        <w:t>Suggest measures that could be taken to encourage people to carry out caring and voluntary activities.</w:t>
      </w:r>
    </w:p>
    <w:p w14:paraId="76070FE4" w14:textId="77777777" w:rsidR="00520821" w:rsidRPr="001A1E3E" w:rsidRDefault="00520821" w:rsidP="00520821">
      <w:pPr>
        <w:autoSpaceDE w:val="0"/>
        <w:autoSpaceDN w:val="0"/>
        <w:adjustRightInd w:val="0"/>
        <w:rPr>
          <w:rFonts w:ascii="Cambria" w:hAnsi="Cambria" w:cs="Arial"/>
        </w:rPr>
      </w:pPr>
    </w:p>
    <w:p w14:paraId="07F9842F" w14:textId="77777777" w:rsidR="00520821" w:rsidRPr="001A1E3E" w:rsidRDefault="00520821" w:rsidP="00520821">
      <w:pPr>
        <w:autoSpaceDE w:val="0"/>
        <w:autoSpaceDN w:val="0"/>
        <w:adjustRightInd w:val="0"/>
        <w:rPr>
          <w:rFonts w:ascii="Cambria" w:hAnsi="Cambria" w:cs="Arial"/>
        </w:rPr>
      </w:pPr>
    </w:p>
    <w:p w14:paraId="0A50B759" w14:textId="77777777" w:rsidR="00520821" w:rsidRDefault="00520821" w:rsidP="00520821">
      <w:pPr>
        <w:autoSpaceDE w:val="0"/>
        <w:autoSpaceDN w:val="0"/>
        <w:adjustRightInd w:val="0"/>
        <w:rPr>
          <w:rFonts w:ascii="Cambria" w:hAnsi="Cambria" w:cs="Arial"/>
        </w:rPr>
      </w:pPr>
      <w:r w:rsidRPr="001A1E3E">
        <w:rPr>
          <w:rFonts w:ascii="Cambria" w:hAnsi="Cambria" w:cs="Arial"/>
        </w:rPr>
        <w:t>Read the article below and answer the following questions</w:t>
      </w:r>
    </w:p>
    <w:p w14:paraId="5596949E" w14:textId="77777777" w:rsidR="00520821" w:rsidRPr="001A1E3E" w:rsidRDefault="00520821" w:rsidP="00520821">
      <w:pPr>
        <w:autoSpaceDE w:val="0"/>
        <w:autoSpaceDN w:val="0"/>
        <w:adjustRightInd w:val="0"/>
        <w:rPr>
          <w:rFonts w:ascii="Cambria" w:hAnsi="Cambria" w:cs="Arial"/>
        </w:rPr>
      </w:pPr>
      <w:r w:rsidRPr="00254020">
        <w:rPr>
          <w:noProof/>
        </w:rPr>
        <w:drawing>
          <wp:inline distT="0" distB="0" distL="0" distR="0" wp14:anchorId="6F97878D" wp14:editId="2338120D">
            <wp:extent cx="4324350" cy="496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4962525"/>
                    </a:xfrm>
                    <a:prstGeom prst="rect">
                      <a:avLst/>
                    </a:prstGeom>
                    <a:noFill/>
                    <a:ln>
                      <a:noFill/>
                    </a:ln>
                  </pic:spPr>
                </pic:pic>
              </a:graphicData>
            </a:graphic>
          </wp:inline>
        </w:drawing>
      </w:r>
    </w:p>
    <w:p w14:paraId="0CD04F96" w14:textId="77777777" w:rsidR="002E5023" w:rsidRPr="00520821" w:rsidRDefault="00520821" w:rsidP="00520821">
      <w:pPr>
        <w:autoSpaceDE w:val="0"/>
        <w:autoSpaceDN w:val="0"/>
        <w:adjustRightInd w:val="0"/>
        <w:rPr>
          <w:rFonts w:ascii="Cambria" w:hAnsi="Cambria" w:cs="Arial"/>
          <w:b/>
        </w:rPr>
      </w:pPr>
      <w:r w:rsidRPr="001A1E3E">
        <w:rPr>
          <w:rFonts w:ascii="Cambria" w:hAnsi="Cambria" w:cs="Arial"/>
        </w:rPr>
        <w:br w:type="page"/>
      </w:r>
      <w:bookmarkStart w:id="0" w:name="_GoBack"/>
      <w:bookmarkEnd w:id="0"/>
      <w:r>
        <w:rPr>
          <w:noProof/>
        </w:rPr>
        <w:lastRenderedPageBreak/>
        <w:drawing>
          <wp:anchor distT="0" distB="0" distL="114300" distR="114300" simplePos="0" relativeHeight="251659264" behindDoc="0" locked="0" layoutInCell="1" allowOverlap="1" wp14:anchorId="391950DE" wp14:editId="1B402DD1">
            <wp:simplePos x="0" y="0"/>
            <wp:positionH relativeFrom="column">
              <wp:align>left</wp:align>
            </wp:positionH>
            <wp:positionV relativeFrom="paragraph">
              <wp:posOffset>0</wp:posOffset>
            </wp:positionV>
            <wp:extent cx="6858000" cy="9010650"/>
            <wp:effectExtent l="0" t="0" r="0" b="0"/>
            <wp:wrapSquare wrapText="right"/>
            <wp:docPr id="3" name="Picture 3"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010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5023" w:rsidRPr="00520821" w:rsidSect="00F941A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975E5" w14:textId="77777777" w:rsidR="00710AD8" w:rsidRDefault="00710AD8">
      <w:r>
        <w:separator/>
      </w:r>
    </w:p>
  </w:endnote>
  <w:endnote w:type="continuationSeparator" w:id="0">
    <w:p w14:paraId="09DCD99D" w14:textId="77777777" w:rsidR="00710AD8" w:rsidRDefault="0071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LT-Roman">
    <w:panose1 w:val="00000000000000000000"/>
    <w:charset w:val="00"/>
    <w:family w:val="roman"/>
    <w:notTrueType/>
    <w:pitch w:val="default"/>
    <w:sig w:usb0="00000003" w:usb1="00000000" w:usb2="00000000" w:usb3="00000000" w:csb0="00000001" w:csb1="00000000"/>
  </w:font>
  <w:font w:name="Helvetica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B6835" w14:textId="77777777" w:rsidR="00710AD8" w:rsidRDefault="00710AD8">
      <w:r>
        <w:separator/>
      </w:r>
    </w:p>
  </w:footnote>
  <w:footnote w:type="continuationSeparator" w:id="0">
    <w:p w14:paraId="7C38D366" w14:textId="77777777" w:rsidR="00710AD8" w:rsidRDefault="00710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0F70" w14:textId="77777777" w:rsidR="00F941A2" w:rsidRDefault="00520821">
    <w:pPr>
      <w:pStyle w:val="Header"/>
    </w:pPr>
    <w:r>
      <w:rPr>
        <w:noProof/>
      </w:rPr>
      <mc:AlternateContent>
        <mc:Choice Requires="wpg">
          <w:drawing>
            <wp:anchor distT="0" distB="0" distL="114300" distR="114300" simplePos="0" relativeHeight="251659264" behindDoc="0" locked="0" layoutInCell="0" allowOverlap="1" wp14:anchorId="1BFDE3F0" wp14:editId="761E3C69">
              <wp:simplePos x="0" y="0"/>
              <wp:positionH relativeFrom="page">
                <wp:posOffset>201930</wp:posOffset>
              </wp:positionH>
              <wp:positionV relativeFrom="page">
                <wp:posOffset>137160</wp:posOffset>
              </wp:positionV>
              <wp:extent cx="7359650" cy="530225"/>
              <wp:effectExtent l="13335" t="7620" r="8890"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530225"/>
                        <a:chOff x="330" y="308"/>
                        <a:chExt cx="11586" cy="835"/>
                      </a:xfrm>
                    </wpg:grpSpPr>
                    <wps:wsp>
                      <wps:cNvPr id="5" name="Rectangle 197"/>
                      <wps:cNvSpPr>
                        <a:spLocks noChangeArrowheads="1"/>
                      </wps:cNvSpPr>
                      <wps:spPr bwMode="auto">
                        <a:xfrm>
                          <a:off x="377" y="360"/>
                          <a:ext cx="9346" cy="720"/>
                        </a:xfrm>
                        <a:prstGeom prst="rect">
                          <a:avLst/>
                        </a:prstGeom>
                        <a:solidFill>
                          <a:srgbClr val="0F243E"/>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1007A44" w14:textId="77777777" w:rsidR="00F941A2" w:rsidRPr="00F941A2" w:rsidRDefault="00C00F88">
                            <w:pPr>
                              <w:pStyle w:val="Header"/>
                              <w:rPr>
                                <w:rFonts w:ascii="Calibri" w:hAnsi="Calibri"/>
                                <w:b/>
                                <w:color w:val="FFFFFF"/>
                                <w:sz w:val="26"/>
                                <w:szCs w:val="26"/>
                              </w:rPr>
                            </w:pPr>
                            <w:r>
                              <w:rPr>
                                <w:rFonts w:ascii="Calibri" w:hAnsi="Calibri"/>
                                <w:b/>
                                <w:color w:val="FFFFFF"/>
                                <w:sz w:val="26"/>
                                <w:szCs w:val="26"/>
                              </w:rPr>
                              <w:t>A Growing and Ageing Population</w:t>
                            </w:r>
                          </w:p>
                        </w:txbxContent>
                      </wps:txbx>
                      <wps:bodyPr rot="0" vert="horz" wrap="square" lIns="91440" tIns="45720" rIns="91440" bIns="45720" anchor="ctr" anchorCtr="0" upright="1">
                        <a:noAutofit/>
                      </wps:bodyPr>
                    </wps:wsp>
                    <wps:wsp>
                      <wps:cNvPr id="6" name="Rectangle 198"/>
                      <wps:cNvSpPr>
                        <a:spLocks noChangeArrowheads="1"/>
                      </wps:cNvSpPr>
                      <wps:spPr bwMode="auto">
                        <a:xfrm>
                          <a:off x="9763" y="360"/>
                          <a:ext cx="2102" cy="720"/>
                        </a:xfrm>
                        <a:prstGeom prst="rect">
                          <a:avLst/>
                        </a:prstGeom>
                        <a:solidFill>
                          <a:srgbClr val="FFFF00"/>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F9D6C2D" w14:textId="77777777" w:rsidR="00F941A2" w:rsidRPr="00F941A2" w:rsidRDefault="00C00F88">
                            <w:pPr>
                              <w:pStyle w:val="Header"/>
                              <w:rPr>
                                <w:color w:val="FFFFFF"/>
                                <w:sz w:val="36"/>
                                <w:szCs w:val="36"/>
                              </w:rPr>
                            </w:pPr>
                            <w:r w:rsidRPr="00F941A2">
                              <w:rPr>
                                <w:rFonts w:ascii="Calibri" w:hAnsi="Calibri"/>
                                <w:b/>
                                <w:color w:val="FFFFFF"/>
                                <w:sz w:val="18"/>
                                <w:szCs w:val="18"/>
                                <w:lang w:val="en-AU"/>
                              </w:rPr>
                              <w:t>HSC Core 1: Health Priorities in Australia</w:t>
                            </w:r>
                          </w:p>
                        </w:txbxContent>
                      </wps:txbx>
                      <wps:bodyPr rot="0" vert="horz" wrap="square" lIns="91440" tIns="45720" rIns="91440" bIns="45720" anchor="ctr" anchorCtr="0" upright="1">
                        <a:noAutofit/>
                      </wps:bodyPr>
                    </wps:wsp>
                    <wps:wsp>
                      <wps:cNvPr id="7"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4" o:spid="_x0000_s1026" style="position:absolute;margin-left:15.9pt;margin-top:10.8pt;width:579.5pt;height:41.75pt;z-index:251659264;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XdsAMAAFENAAAOAAAAZHJzL2Uyb0RvYy54bWzsV9tu3DYQfS/QfyD0vtaNWl1gOXD2YhRw&#10;2yBJP4ArURdUIlWSa61T9N87JLU3261TGzFaoPugJTXkcObMnBnq8t2u79AdFbLlLHf8C89BlBW8&#10;bFmdO798Xs8SB0lFWEk6zmju3FPpvLv6/rvLcchowBvelVQgUMJkNg650yg1ZK4ri4b2RF7wgTIQ&#10;Vlz0RMFU1G4pyAja+84NPG/ujlyUg+AFlRLeLq3QuTL6q4oW6ueqklShLnfANmWewjw3+uleXZKs&#10;FmRo2mIyg7zAip60DA49qFoSRdBWtI9U9W0huOSVuih47/KqagtqfABvfO+BNzeCbwfjS52N9XCA&#10;CaB9gNOL1RY/3X0QqC1zBzuIkR5CZE5FWEMzDnUGK27E8Gn4IKx/MLzlxa8SxO5DuZ7XdjHajD/y&#10;EtSRreIGml0leq0CnEY7E4H7QwToTqECXsZhlM4jCFQBsij0giCyISoaiKPeFoYgBWHoJXvJatrs&#10;+1Eyt1uT0OxzSWZPNZZOlmm3INnkEU/5Ojw/NWSgJkxSozXhGe3x/AhJSFjdUeSnsUXVrNtDKi2e&#10;iPFFA+votRB8bCgpwSxfrwfjTzboiYRoPAtwGMcWqfmU5nuQ0xBPMMWBER1gItkgpLqhvEd6kDsC&#10;bDfBI3e3Umlbjkt0LCXv2nLddp2ZiHqz6AS6I5ps6wCHK2P+g2Ud04sZ19usRvsGzIMztEwbasjz&#10;e+oH2HsfpLP1PIlneI2jWRp7yczz0/fp3MMpXq7/0Ab6OGvasqTstmV0T2Qff11gp5JiKWiojEbA&#10;PvUgE41jf+nl2vye8rJvFRS2ru1zJ/H0Ty8imY7ripVmrEjb2bF7br+BGUDY/xtYTBbowNv8VbvN&#10;DrTobNjw8h7yQXAIGJADqjEMGi6+OGiEypY78rctEdRB3Q8Mcir1Mdal0ExwpHMAiVPJ5lRCWAGq&#10;cqdQwkF2slC2gG4H0dYNnOUblBi/BqpXrUmTo11T/gLf3oh4kNu2kJ0SzxSLMx5BVn4j4qXxPHya&#10;eYHvBbZAfUPm6ZS06QZkPSPof4V5QYTBgX8z80zHNMX5mOj/E3DqfNB2HhMw1fXvjQj46I6w73x/&#10;c0M49rWvbH2HBkayjpl+EcTPZq3pBPuee8bNf9gv4EzNjyd7ppeuklWCZziYr2bYWy5n1+sFns3X&#10;fhwtw+VisfTPe6buxK/vmS/j60nrs/cIKFrPtL436Xfq9d3OXDrh3m7a+PSNoT8MTuemOx6/hK7+&#10;BAAA//8DAFBLAwQUAAYACAAAACEAvUwRPd8AAAAKAQAADwAAAGRycy9kb3ducmV2LnhtbEyPzU7D&#10;MBCE70i8g7VI3KjtIiIIcSqEBCdUQahQj27sJlHtdYidH96e7QluOzurmW+LzeIdm+wQu4AK5EoA&#10;s1gH02GjYPf5cnMPLCaNRruAVsGPjbApLy8KnZsw44edqtQwCsGYawVtSn3Oeaxb63Vchd4ieccw&#10;eJ1IDg03g54p3Du+FiLjXndIDa3u7XNr61M1egVu+/Y6Vdn3/mu7x26cd/G9G2ulrq+Wp0dgyS7p&#10;7xjO+IQOJTEdwogmMqfgVhJ5UrCWGbCzLx8EbQ40iTsJvCz4/xfKXwAAAP//AwBQSwECLQAUAAYA&#10;CAAAACEAtoM4kv4AAADhAQAAEwAAAAAAAAAAAAAAAAAAAAAAW0NvbnRlbnRfVHlwZXNdLnhtbFBL&#10;AQItABQABgAIAAAAIQA4/SH/1gAAAJQBAAALAAAAAAAAAAAAAAAAAC8BAABfcmVscy8ucmVsc1BL&#10;AQItABQABgAIAAAAIQD549XdsAMAAFENAAAOAAAAAAAAAAAAAAAAAC4CAABkcnMvZTJvRG9jLnht&#10;bFBLAQItABQABgAIAAAAIQC9TBE93wAAAAoBAAAPAAAAAAAAAAAAAAAAAAoGAABkcnMvZG93bnJl&#10;di54bWxQSwUGAAAAAAQABADzAAAAFg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jDcEA&#10;AADaAAAADwAAAGRycy9kb3ducmV2LnhtbERPW2vCMBR+H/gfwhH2Mmaq4IVqlKEIYw8yL4Pt7dgc&#10;27rmpDRZjf/eDAQfP777bBFMJVpqXGlZQb+XgCDOrC45V3DYr18nIJxH1lhZJgVXcrCYd55mmGp7&#10;4S21O5+LGMIuRQWF93UqpcsKMuh6tiaO3Mk2Bn2ETS51g5cYbio5SJKRNFhybCiwpmVB2e/uz8QZ&#10;588f/WI+9u1qcwxf/W/N46CVeu6GtykIT8E/xHf3u1YwhP8r0Q9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Yw3BAAAA2gAAAA8AAAAAAAAAAAAAAAAAmAIAAGRycy9kb3du&#10;cmV2LnhtbFBLBQYAAAAABAAEAPUAAACGAwAAAAA=&#10;" fillcolor="#0f243e" stroked="f" strokecolor="white" strokeweight="1.5pt">
                <v:textbox>
                  <w:txbxContent>
                    <w:p w:rsidR="00F941A2" w:rsidRPr="00F941A2" w:rsidRDefault="00C00F88">
                      <w:pPr>
                        <w:pStyle w:val="Header"/>
                        <w:rPr>
                          <w:rFonts w:ascii="Calibri" w:hAnsi="Calibri"/>
                          <w:b/>
                          <w:color w:val="FFFFFF"/>
                          <w:sz w:val="26"/>
                          <w:szCs w:val="26"/>
                        </w:rPr>
                      </w:pPr>
                      <w:r>
                        <w:rPr>
                          <w:rFonts w:ascii="Calibri" w:hAnsi="Calibri"/>
                          <w:b/>
                          <w:color w:val="FFFFFF"/>
                          <w:sz w:val="26"/>
                          <w:szCs w:val="26"/>
                        </w:rPr>
                        <w:t>A Growing and Agein</w:t>
                      </w:r>
                      <w:r>
                        <w:rPr>
                          <w:rFonts w:ascii="Calibri" w:hAnsi="Calibri"/>
                          <w:b/>
                          <w:color w:val="FFFFFF"/>
                          <w:sz w:val="26"/>
                          <w:szCs w:val="26"/>
                        </w:rPr>
                        <w:t>g Population</w:t>
                      </w: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hcsQA&#10;AADaAAAADwAAAGRycy9kb3ducmV2LnhtbESPQWvCQBSE74L/YXlCb2Zjm9qSZhVrKXjoxVjQ4yP7&#10;zIZk34bsVtN/7xYKHoeZ+YYp1qPtxIUG3zhWsEhSEMSV0w3XCr4Pn/NXED4ga+wck4Jf8rBeTScF&#10;5tpdeU+XMtQiQtjnqMCE0OdS+sqQRZ+4njh6ZzdYDFEOtdQDXiPcdvIxTZfSYsNxwWBPW0NVW/5Y&#10;BeHjJWufv562tjy+L7LGZPVoT0o9zMbNG4hAY7iH/9s7rWAJf1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rYXLEAAAA2gAAAA8AAAAAAAAAAAAAAAAAmAIAAGRycy9k&#10;b3ducmV2LnhtbFBLBQYAAAAABAAEAPUAAACJAwAAAAA=&#10;" fillcolor="yellow" stroked="f" strokecolor="white" strokeweight="2pt">
                <v:textbox>
                  <w:txbxContent>
                    <w:p w:rsidR="00F941A2" w:rsidRPr="00F941A2" w:rsidRDefault="00C00F88">
                      <w:pPr>
                        <w:pStyle w:val="Header"/>
                        <w:rPr>
                          <w:color w:val="FFFFFF"/>
                          <w:sz w:val="36"/>
                          <w:szCs w:val="36"/>
                        </w:rPr>
                      </w:pPr>
                      <w:r w:rsidRPr="00F941A2">
                        <w:rPr>
                          <w:rFonts w:ascii="Calibri" w:hAnsi="Calibri"/>
                          <w:b/>
                          <w:color w:val="FFFFFF"/>
                          <w:sz w:val="18"/>
                          <w:szCs w:val="18"/>
                          <w:lang w:val="en-AU"/>
                        </w:rPr>
                        <w:t xml:space="preserve">HSC Core 1: Health Priorities </w:t>
                      </w:r>
                      <w:r w:rsidRPr="00F941A2">
                        <w:rPr>
                          <w:rFonts w:ascii="Calibri" w:hAnsi="Calibri"/>
                          <w:b/>
                          <w:color w:val="FFFFFF"/>
                          <w:sz w:val="18"/>
                          <w:szCs w:val="18"/>
                          <w:lang w:val="en-AU"/>
                        </w:rPr>
                        <w:t>in Australia</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p>
  <w:p w14:paraId="0A80E20E" w14:textId="77777777" w:rsidR="00F941A2" w:rsidRDefault="00710A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6622B"/>
    <w:multiLevelType w:val="hybridMultilevel"/>
    <w:tmpl w:val="BBE0F500"/>
    <w:lvl w:ilvl="0" w:tplc="8340950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270039"/>
    <w:multiLevelType w:val="multilevel"/>
    <w:tmpl w:val="6924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22D69"/>
    <w:multiLevelType w:val="multilevel"/>
    <w:tmpl w:val="BE520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EBF4C44"/>
    <w:multiLevelType w:val="hybridMultilevel"/>
    <w:tmpl w:val="C8E80298"/>
    <w:lvl w:ilvl="0" w:tplc="C80C25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D4480C"/>
    <w:multiLevelType w:val="hybridMultilevel"/>
    <w:tmpl w:val="65C4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56CE0"/>
    <w:multiLevelType w:val="hybridMultilevel"/>
    <w:tmpl w:val="1D5A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21"/>
    <w:rsid w:val="00012F1C"/>
    <w:rsid w:val="000176BF"/>
    <w:rsid w:val="000262E6"/>
    <w:rsid w:val="00033F14"/>
    <w:rsid w:val="00052AFF"/>
    <w:rsid w:val="00055DA5"/>
    <w:rsid w:val="00074014"/>
    <w:rsid w:val="00074FAF"/>
    <w:rsid w:val="00084B5C"/>
    <w:rsid w:val="00092346"/>
    <w:rsid w:val="000A1B14"/>
    <w:rsid w:val="000B2ECD"/>
    <w:rsid w:val="000B3E72"/>
    <w:rsid w:val="000B471F"/>
    <w:rsid w:val="000D1E80"/>
    <w:rsid w:val="000D428E"/>
    <w:rsid w:val="000D7D28"/>
    <w:rsid w:val="000E6877"/>
    <w:rsid w:val="000F19B0"/>
    <w:rsid w:val="000F7322"/>
    <w:rsid w:val="001043A4"/>
    <w:rsid w:val="001053D6"/>
    <w:rsid w:val="00105733"/>
    <w:rsid w:val="001170AA"/>
    <w:rsid w:val="00117D2C"/>
    <w:rsid w:val="00133A0C"/>
    <w:rsid w:val="00143570"/>
    <w:rsid w:val="00152EB6"/>
    <w:rsid w:val="00166485"/>
    <w:rsid w:val="001675FB"/>
    <w:rsid w:val="00170172"/>
    <w:rsid w:val="001711A7"/>
    <w:rsid w:val="00173B68"/>
    <w:rsid w:val="001756DD"/>
    <w:rsid w:val="00192ED1"/>
    <w:rsid w:val="001B4D74"/>
    <w:rsid w:val="001C002D"/>
    <w:rsid w:val="001C7466"/>
    <w:rsid w:val="001D3F4C"/>
    <w:rsid w:val="00207987"/>
    <w:rsid w:val="00210698"/>
    <w:rsid w:val="002179CE"/>
    <w:rsid w:val="00233075"/>
    <w:rsid w:val="00263592"/>
    <w:rsid w:val="00270D6D"/>
    <w:rsid w:val="0027153A"/>
    <w:rsid w:val="00287080"/>
    <w:rsid w:val="00297CED"/>
    <w:rsid w:val="002A29FF"/>
    <w:rsid w:val="002A5856"/>
    <w:rsid w:val="002B694B"/>
    <w:rsid w:val="002B7E75"/>
    <w:rsid w:val="002C4C78"/>
    <w:rsid w:val="002D3695"/>
    <w:rsid w:val="002D5969"/>
    <w:rsid w:val="002E5023"/>
    <w:rsid w:val="002E5890"/>
    <w:rsid w:val="002F0773"/>
    <w:rsid w:val="002F4E66"/>
    <w:rsid w:val="00302AAB"/>
    <w:rsid w:val="003151A6"/>
    <w:rsid w:val="00326C8E"/>
    <w:rsid w:val="00332F29"/>
    <w:rsid w:val="00334FBE"/>
    <w:rsid w:val="00337F82"/>
    <w:rsid w:val="00344BF6"/>
    <w:rsid w:val="003452EF"/>
    <w:rsid w:val="00350553"/>
    <w:rsid w:val="00350839"/>
    <w:rsid w:val="00351079"/>
    <w:rsid w:val="003521C6"/>
    <w:rsid w:val="00353611"/>
    <w:rsid w:val="00373A7E"/>
    <w:rsid w:val="00373F33"/>
    <w:rsid w:val="00381339"/>
    <w:rsid w:val="003922D4"/>
    <w:rsid w:val="00392875"/>
    <w:rsid w:val="003B1850"/>
    <w:rsid w:val="003B33C4"/>
    <w:rsid w:val="003B37CF"/>
    <w:rsid w:val="003B6716"/>
    <w:rsid w:val="003C6BD5"/>
    <w:rsid w:val="003C7B48"/>
    <w:rsid w:val="003D0701"/>
    <w:rsid w:val="003D446A"/>
    <w:rsid w:val="003D6B55"/>
    <w:rsid w:val="003E277B"/>
    <w:rsid w:val="003F11FA"/>
    <w:rsid w:val="003F24BC"/>
    <w:rsid w:val="003F5699"/>
    <w:rsid w:val="004005C8"/>
    <w:rsid w:val="0040352D"/>
    <w:rsid w:val="00433F03"/>
    <w:rsid w:val="004603BC"/>
    <w:rsid w:val="00461EDA"/>
    <w:rsid w:val="00465355"/>
    <w:rsid w:val="00483D9A"/>
    <w:rsid w:val="004A79E7"/>
    <w:rsid w:val="004C1228"/>
    <w:rsid w:val="004C13DF"/>
    <w:rsid w:val="004C3F10"/>
    <w:rsid w:val="004C7BC3"/>
    <w:rsid w:val="004D2421"/>
    <w:rsid w:val="004D4DCA"/>
    <w:rsid w:val="004E2405"/>
    <w:rsid w:val="004E70C1"/>
    <w:rsid w:val="004F066C"/>
    <w:rsid w:val="004F49A6"/>
    <w:rsid w:val="0050286B"/>
    <w:rsid w:val="00507DF4"/>
    <w:rsid w:val="00513695"/>
    <w:rsid w:val="00516450"/>
    <w:rsid w:val="005176F1"/>
    <w:rsid w:val="00520821"/>
    <w:rsid w:val="005209E9"/>
    <w:rsid w:val="005330C4"/>
    <w:rsid w:val="00533960"/>
    <w:rsid w:val="00553415"/>
    <w:rsid w:val="005743C6"/>
    <w:rsid w:val="005813BE"/>
    <w:rsid w:val="005854F9"/>
    <w:rsid w:val="0059330C"/>
    <w:rsid w:val="00593C65"/>
    <w:rsid w:val="00594782"/>
    <w:rsid w:val="005A70CB"/>
    <w:rsid w:val="005B3768"/>
    <w:rsid w:val="005B527E"/>
    <w:rsid w:val="005C7E89"/>
    <w:rsid w:val="005F2C11"/>
    <w:rsid w:val="00603985"/>
    <w:rsid w:val="00607B79"/>
    <w:rsid w:val="0061471C"/>
    <w:rsid w:val="00667257"/>
    <w:rsid w:val="00675F33"/>
    <w:rsid w:val="00685450"/>
    <w:rsid w:val="006859D7"/>
    <w:rsid w:val="006A49E5"/>
    <w:rsid w:val="006A5FF4"/>
    <w:rsid w:val="006B32DF"/>
    <w:rsid w:val="006B65F8"/>
    <w:rsid w:val="006C1DAF"/>
    <w:rsid w:val="006C3C21"/>
    <w:rsid w:val="00710AD8"/>
    <w:rsid w:val="00711907"/>
    <w:rsid w:val="00715C35"/>
    <w:rsid w:val="0072181F"/>
    <w:rsid w:val="00724321"/>
    <w:rsid w:val="0072492A"/>
    <w:rsid w:val="00735B3B"/>
    <w:rsid w:val="00746C23"/>
    <w:rsid w:val="00774CB4"/>
    <w:rsid w:val="00781BE9"/>
    <w:rsid w:val="00782BFD"/>
    <w:rsid w:val="007861DF"/>
    <w:rsid w:val="00786666"/>
    <w:rsid w:val="00795F54"/>
    <w:rsid w:val="007B0BCC"/>
    <w:rsid w:val="007C440E"/>
    <w:rsid w:val="007E12A4"/>
    <w:rsid w:val="007F0988"/>
    <w:rsid w:val="007F228F"/>
    <w:rsid w:val="007F2539"/>
    <w:rsid w:val="0080441F"/>
    <w:rsid w:val="00812632"/>
    <w:rsid w:val="00815F6C"/>
    <w:rsid w:val="008210AE"/>
    <w:rsid w:val="00831C1E"/>
    <w:rsid w:val="00831D10"/>
    <w:rsid w:val="008320EF"/>
    <w:rsid w:val="00835CEB"/>
    <w:rsid w:val="0084189D"/>
    <w:rsid w:val="00847126"/>
    <w:rsid w:val="008504FD"/>
    <w:rsid w:val="00850731"/>
    <w:rsid w:val="00855F12"/>
    <w:rsid w:val="00866358"/>
    <w:rsid w:val="00896D2A"/>
    <w:rsid w:val="008B18F3"/>
    <w:rsid w:val="008B5737"/>
    <w:rsid w:val="008D330B"/>
    <w:rsid w:val="008D38A7"/>
    <w:rsid w:val="008D67F4"/>
    <w:rsid w:val="008E233F"/>
    <w:rsid w:val="008F47B4"/>
    <w:rsid w:val="008F6E4D"/>
    <w:rsid w:val="00900582"/>
    <w:rsid w:val="009049A5"/>
    <w:rsid w:val="00935F42"/>
    <w:rsid w:val="00936B20"/>
    <w:rsid w:val="00942262"/>
    <w:rsid w:val="009473A3"/>
    <w:rsid w:val="00961F99"/>
    <w:rsid w:val="00966A59"/>
    <w:rsid w:val="00974ADC"/>
    <w:rsid w:val="009753B1"/>
    <w:rsid w:val="00980B4D"/>
    <w:rsid w:val="0098280F"/>
    <w:rsid w:val="0098464E"/>
    <w:rsid w:val="009A0093"/>
    <w:rsid w:val="009A3F63"/>
    <w:rsid w:val="009B3A38"/>
    <w:rsid w:val="009C4209"/>
    <w:rsid w:val="009D0234"/>
    <w:rsid w:val="009D2941"/>
    <w:rsid w:val="009D5118"/>
    <w:rsid w:val="009F172F"/>
    <w:rsid w:val="009F330F"/>
    <w:rsid w:val="009F600B"/>
    <w:rsid w:val="00A4256B"/>
    <w:rsid w:val="00A55DB2"/>
    <w:rsid w:val="00A8467F"/>
    <w:rsid w:val="00A87F45"/>
    <w:rsid w:val="00A94AA4"/>
    <w:rsid w:val="00A968C4"/>
    <w:rsid w:val="00A971BB"/>
    <w:rsid w:val="00AA2A4E"/>
    <w:rsid w:val="00AA314F"/>
    <w:rsid w:val="00AE0629"/>
    <w:rsid w:val="00AE2272"/>
    <w:rsid w:val="00B044C6"/>
    <w:rsid w:val="00B059E2"/>
    <w:rsid w:val="00B07B38"/>
    <w:rsid w:val="00B109BA"/>
    <w:rsid w:val="00B1546E"/>
    <w:rsid w:val="00B16783"/>
    <w:rsid w:val="00B259C3"/>
    <w:rsid w:val="00B40F32"/>
    <w:rsid w:val="00B45854"/>
    <w:rsid w:val="00B573A8"/>
    <w:rsid w:val="00B613C9"/>
    <w:rsid w:val="00B64674"/>
    <w:rsid w:val="00B75524"/>
    <w:rsid w:val="00B764A1"/>
    <w:rsid w:val="00B76C45"/>
    <w:rsid w:val="00B82E8D"/>
    <w:rsid w:val="00B83776"/>
    <w:rsid w:val="00B90E7D"/>
    <w:rsid w:val="00B96B42"/>
    <w:rsid w:val="00B97926"/>
    <w:rsid w:val="00BA2A3D"/>
    <w:rsid w:val="00BB2EE6"/>
    <w:rsid w:val="00BB75D4"/>
    <w:rsid w:val="00BE58BA"/>
    <w:rsid w:val="00BF65F5"/>
    <w:rsid w:val="00C00F88"/>
    <w:rsid w:val="00C10843"/>
    <w:rsid w:val="00C1212C"/>
    <w:rsid w:val="00C30000"/>
    <w:rsid w:val="00C416C5"/>
    <w:rsid w:val="00C437D4"/>
    <w:rsid w:val="00C67D54"/>
    <w:rsid w:val="00C80A62"/>
    <w:rsid w:val="00C91DFE"/>
    <w:rsid w:val="00C9269E"/>
    <w:rsid w:val="00C94D3D"/>
    <w:rsid w:val="00C97246"/>
    <w:rsid w:val="00CA2ED8"/>
    <w:rsid w:val="00CB3939"/>
    <w:rsid w:val="00CB78E0"/>
    <w:rsid w:val="00CC1155"/>
    <w:rsid w:val="00CE266B"/>
    <w:rsid w:val="00CF0413"/>
    <w:rsid w:val="00CF65B2"/>
    <w:rsid w:val="00D00F1A"/>
    <w:rsid w:val="00D3024A"/>
    <w:rsid w:val="00D34C87"/>
    <w:rsid w:val="00D3725C"/>
    <w:rsid w:val="00D42609"/>
    <w:rsid w:val="00D46B7C"/>
    <w:rsid w:val="00D531EA"/>
    <w:rsid w:val="00D61106"/>
    <w:rsid w:val="00D619EE"/>
    <w:rsid w:val="00D64041"/>
    <w:rsid w:val="00D659FB"/>
    <w:rsid w:val="00D66C2B"/>
    <w:rsid w:val="00D815EF"/>
    <w:rsid w:val="00D82C84"/>
    <w:rsid w:val="00D83F0F"/>
    <w:rsid w:val="00DA0D18"/>
    <w:rsid w:val="00DA725A"/>
    <w:rsid w:val="00DA74B6"/>
    <w:rsid w:val="00DB6DBA"/>
    <w:rsid w:val="00DD64CC"/>
    <w:rsid w:val="00DE3C3D"/>
    <w:rsid w:val="00DE77EC"/>
    <w:rsid w:val="00DF381B"/>
    <w:rsid w:val="00E0014C"/>
    <w:rsid w:val="00E0203A"/>
    <w:rsid w:val="00E047D9"/>
    <w:rsid w:val="00E04986"/>
    <w:rsid w:val="00E06E83"/>
    <w:rsid w:val="00E119C3"/>
    <w:rsid w:val="00E13BAD"/>
    <w:rsid w:val="00E14591"/>
    <w:rsid w:val="00E32F83"/>
    <w:rsid w:val="00E34C55"/>
    <w:rsid w:val="00E37B55"/>
    <w:rsid w:val="00E76A09"/>
    <w:rsid w:val="00EB3090"/>
    <w:rsid w:val="00EC151C"/>
    <w:rsid w:val="00EC2860"/>
    <w:rsid w:val="00EC2CDC"/>
    <w:rsid w:val="00EC2D21"/>
    <w:rsid w:val="00EC4448"/>
    <w:rsid w:val="00EE44E9"/>
    <w:rsid w:val="00EE6AF8"/>
    <w:rsid w:val="00EF0431"/>
    <w:rsid w:val="00EF2F15"/>
    <w:rsid w:val="00EF56CC"/>
    <w:rsid w:val="00F20406"/>
    <w:rsid w:val="00F32C91"/>
    <w:rsid w:val="00F41DEE"/>
    <w:rsid w:val="00F467EF"/>
    <w:rsid w:val="00F56CA2"/>
    <w:rsid w:val="00F63D05"/>
    <w:rsid w:val="00F64E46"/>
    <w:rsid w:val="00F67495"/>
    <w:rsid w:val="00F73C94"/>
    <w:rsid w:val="00F874EF"/>
    <w:rsid w:val="00F9233A"/>
    <w:rsid w:val="00F93584"/>
    <w:rsid w:val="00FA1E21"/>
    <w:rsid w:val="00FA430A"/>
    <w:rsid w:val="00FA728C"/>
    <w:rsid w:val="00FA7645"/>
    <w:rsid w:val="00FB187C"/>
    <w:rsid w:val="00FC1302"/>
    <w:rsid w:val="00FE0EF0"/>
    <w:rsid w:val="00FF3184"/>
    <w:rsid w:val="00FF4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A84C4"/>
  <w15:chartTrackingRefBased/>
  <w15:docId w15:val="{C8FC445B-88AD-496E-9169-44F78CED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0821"/>
    <w:pPr>
      <w:tabs>
        <w:tab w:val="center" w:pos="4680"/>
        <w:tab w:val="right" w:pos="9360"/>
      </w:tabs>
    </w:pPr>
  </w:style>
  <w:style w:type="character" w:customStyle="1" w:styleId="HeaderChar">
    <w:name w:val="Header Char"/>
    <w:basedOn w:val="DefaultParagraphFont"/>
    <w:link w:val="Header"/>
    <w:uiPriority w:val="99"/>
    <w:rsid w:val="0052082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176BF"/>
    <w:pPr>
      <w:spacing w:before="100" w:beforeAutospacing="1" w:after="100" w:afterAutospacing="1"/>
    </w:pPr>
    <w:rPr>
      <w:lang w:val="en-AU" w:eastAsia="en-AU"/>
    </w:rPr>
  </w:style>
  <w:style w:type="character" w:styleId="Emphasis">
    <w:name w:val="Emphasis"/>
    <w:basedOn w:val="DefaultParagraphFont"/>
    <w:uiPriority w:val="20"/>
    <w:qFormat/>
    <w:rsid w:val="000176BF"/>
    <w:rPr>
      <w:i/>
      <w:iCs/>
    </w:rPr>
  </w:style>
  <w:style w:type="character" w:customStyle="1" w:styleId="apple-converted-space">
    <w:name w:val="apple-converted-space"/>
    <w:basedOn w:val="DefaultParagraphFont"/>
    <w:rsid w:val="0001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7249">
      <w:bodyDiv w:val="1"/>
      <w:marLeft w:val="0"/>
      <w:marRight w:val="0"/>
      <w:marTop w:val="0"/>
      <w:marBottom w:val="0"/>
      <w:divBdr>
        <w:top w:val="none" w:sz="0" w:space="0" w:color="auto"/>
        <w:left w:val="none" w:sz="0" w:space="0" w:color="auto"/>
        <w:bottom w:val="none" w:sz="0" w:space="0" w:color="auto"/>
        <w:right w:val="none" w:sz="0" w:space="0" w:color="auto"/>
      </w:divBdr>
    </w:div>
    <w:div w:id="432897062">
      <w:bodyDiv w:val="1"/>
      <w:marLeft w:val="0"/>
      <w:marRight w:val="0"/>
      <w:marTop w:val="0"/>
      <w:marBottom w:val="0"/>
      <w:divBdr>
        <w:top w:val="none" w:sz="0" w:space="0" w:color="auto"/>
        <w:left w:val="none" w:sz="0" w:space="0" w:color="auto"/>
        <w:bottom w:val="none" w:sz="0" w:space="0" w:color="auto"/>
        <w:right w:val="none" w:sz="0" w:space="0" w:color="auto"/>
      </w:divBdr>
    </w:div>
    <w:div w:id="669257829">
      <w:bodyDiv w:val="1"/>
      <w:marLeft w:val="0"/>
      <w:marRight w:val="0"/>
      <w:marTop w:val="0"/>
      <w:marBottom w:val="0"/>
      <w:divBdr>
        <w:top w:val="none" w:sz="0" w:space="0" w:color="auto"/>
        <w:left w:val="none" w:sz="0" w:space="0" w:color="auto"/>
        <w:bottom w:val="none" w:sz="0" w:space="0" w:color="auto"/>
        <w:right w:val="none" w:sz="0" w:space="0" w:color="auto"/>
      </w:divBdr>
    </w:div>
    <w:div w:id="699354940">
      <w:bodyDiv w:val="1"/>
      <w:marLeft w:val="0"/>
      <w:marRight w:val="0"/>
      <w:marTop w:val="0"/>
      <w:marBottom w:val="0"/>
      <w:divBdr>
        <w:top w:val="none" w:sz="0" w:space="0" w:color="auto"/>
        <w:left w:val="none" w:sz="0" w:space="0" w:color="auto"/>
        <w:bottom w:val="none" w:sz="0" w:space="0" w:color="auto"/>
        <w:right w:val="none" w:sz="0" w:space="0" w:color="auto"/>
      </w:divBdr>
    </w:div>
    <w:div w:id="968122753">
      <w:bodyDiv w:val="1"/>
      <w:marLeft w:val="0"/>
      <w:marRight w:val="0"/>
      <w:marTop w:val="0"/>
      <w:marBottom w:val="0"/>
      <w:divBdr>
        <w:top w:val="none" w:sz="0" w:space="0" w:color="auto"/>
        <w:left w:val="none" w:sz="0" w:space="0" w:color="auto"/>
        <w:bottom w:val="none" w:sz="0" w:space="0" w:color="auto"/>
        <w:right w:val="none" w:sz="0" w:space="0" w:color="auto"/>
      </w:divBdr>
    </w:div>
    <w:div w:id="16894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723</Words>
  <Characters>4123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Langtry</dc:creator>
  <cp:keywords/>
  <dc:description/>
  <cp:lastModifiedBy>Michelle Lumsden</cp:lastModifiedBy>
  <cp:revision>2</cp:revision>
  <dcterms:created xsi:type="dcterms:W3CDTF">2016-01-03T01:17:00Z</dcterms:created>
  <dcterms:modified xsi:type="dcterms:W3CDTF">2016-01-03T01:17:00Z</dcterms:modified>
</cp:coreProperties>
</file>